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rFonts w:hint="eastAsia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</w:t>
      </w:r>
    </w:p>
    <w:p>
      <w:pPr>
        <w:rPr>
          <w:color w:val="auto"/>
          <w:sz w:val="28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z w:val="72"/>
          <w:szCs w:val="144"/>
        </w:rPr>
      </w:pPr>
      <w:r>
        <w:rPr>
          <w:rFonts w:ascii="Times New Roman" w:hAnsi="Times New Roman" w:cs="Times New Roman"/>
          <w:b/>
          <w:bCs/>
          <w:color w:val="auto"/>
          <w:sz w:val="72"/>
          <w:szCs w:val="144"/>
        </w:rPr>
        <w:t>招 标 文 件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rFonts w:hint="eastAsia" w:asciiTheme="minorEastAsia" w:hAnsiTheme="minorEastAsia" w:cstheme="minorEastAsia"/>
          <w:color w:val="auto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 w:cstheme="minorEastAsia"/>
          <w:b/>
          <w:bCs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</w:rPr>
        <w:t>工程名称：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u w:val="single"/>
        </w:rPr>
        <w:t>龙腾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u w:val="single"/>
          <w:lang w:eastAsia="zh-CN"/>
        </w:rPr>
        <w:t>广场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u w:val="single"/>
        </w:rPr>
        <w:t>#楼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u w:val="single"/>
          <w:lang w:eastAsia="zh-CN"/>
        </w:rPr>
        <w:t>幕墙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u w:val="single"/>
        </w:rPr>
        <w:t xml:space="preserve">工程 </w:t>
      </w:r>
    </w:p>
    <w:p>
      <w:pPr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p>
      <w:pPr>
        <w:ind w:firstLine="1285" w:firstLineChars="400"/>
        <w:rPr>
          <w:rFonts w:hint="eastAsia"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</w:rPr>
        <w:t>建设单位：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成都芝兰御锦城房地产开发有限公司</w:t>
      </w:r>
    </w:p>
    <w:p>
      <w:pPr>
        <w:rPr>
          <w:rFonts w:hint="eastAsia" w:ascii="宋体" w:hAnsi="宋体" w:cs="宋体"/>
          <w:b/>
          <w:bCs/>
          <w:sz w:val="30"/>
          <w:szCs w:val="30"/>
          <w:u w:val="single"/>
        </w:rPr>
      </w:pPr>
    </w:p>
    <w:p>
      <w:pPr>
        <w:ind w:firstLine="151" w:firstLineChars="5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</w:t>
      </w:r>
    </w:p>
    <w:p>
      <w:pPr>
        <w:ind w:firstLine="1205" w:firstLineChars="400"/>
        <w:rPr>
          <w:color w:val="auto"/>
          <w:sz w:val="28"/>
          <w:szCs w:val="36"/>
        </w:rPr>
      </w:pPr>
      <w:r>
        <w:rPr>
          <w:rFonts w:hint="eastAsia" w:ascii="宋体" w:hAnsi="宋体" w:cs="宋体"/>
          <w:b/>
          <w:bCs/>
          <w:sz w:val="30"/>
          <w:szCs w:val="30"/>
        </w:rPr>
        <w:t>招标时间：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日至202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日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32"/>
          <w:szCs w:val="4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龙腾广场2#楼幕墙工程</w:t>
      </w:r>
    </w:p>
    <w:p>
      <w:pPr>
        <w:jc w:val="center"/>
        <w:rPr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招 标 公 告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一、招标项目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龙腾</w:t>
      </w:r>
      <w:r>
        <w:rPr>
          <w:rFonts w:hint="eastAsia"/>
          <w:color w:val="auto"/>
          <w:sz w:val="24"/>
          <w:szCs w:val="32"/>
          <w:lang w:eastAsia="zh-CN"/>
        </w:rPr>
        <w:t>广场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color w:val="auto"/>
          <w:sz w:val="24"/>
          <w:szCs w:val="32"/>
        </w:rPr>
        <w:t>#楼</w:t>
      </w:r>
      <w:r>
        <w:rPr>
          <w:rFonts w:hint="eastAsia"/>
          <w:color w:val="auto"/>
          <w:sz w:val="24"/>
          <w:szCs w:val="32"/>
          <w:lang w:eastAsia="zh-CN"/>
        </w:rPr>
        <w:t>幕墙</w:t>
      </w:r>
      <w:r>
        <w:rPr>
          <w:rFonts w:hint="eastAsia"/>
          <w:color w:val="auto"/>
          <w:sz w:val="24"/>
          <w:szCs w:val="32"/>
        </w:rPr>
        <w:t>工程。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详见后附施工图。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二、投标人资格要求：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1、投标人需具备独立法人资格，具备</w:t>
      </w:r>
      <w:r>
        <w:rPr>
          <w:rFonts w:hint="eastAsia"/>
          <w:color w:val="auto"/>
          <w:sz w:val="24"/>
          <w:szCs w:val="32"/>
          <w:lang w:eastAsia="zh-CN"/>
        </w:rPr>
        <w:t>建筑幕墙工程专业承包贰级或以上</w:t>
      </w:r>
      <w:r>
        <w:rPr>
          <w:rFonts w:hint="eastAsia"/>
          <w:color w:val="auto"/>
          <w:sz w:val="24"/>
          <w:szCs w:val="32"/>
        </w:rPr>
        <w:t>资质。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2、近3年已完成2个以上同等规模的工程（提供中标通知书或合同，以中标或签订施工合同时间为时间依据）。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3、无不良履约信用记录，未被有关行政主管部门市场禁入。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三、报价要求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1、根据甲方提供的图纸式样及材质标准，达到国家及地方最新质量及验收标准要求</w:t>
      </w:r>
      <w:r>
        <w:rPr>
          <w:rFonts w:hint="eastAsia"/>
          <w:color w:val="auto"/>
          <w:sz w:val="24"/>
          <w:szCs w:val="32"/>
          <w:lang w:eastAsia="zh-CN"/>
        </w:rPr>
        <w:t>，</w:t>
      </w:r>
      <w:r>
        <w:rPr>
          <w:rFonts w:hint="eastAsia"/>
          <w:color w:val="auto"/>
          <w:sz w:val="24"/>
          <w:szCs w:val="32"/>
          <w:lang w:val="en-US" w:eastAsia="zh-CN"/>
        </w:rPr>
        <w:t>按甲方提供的工程量清单</w:t>
      </w:r>
      <w:r>
        <w:rPr>
          <w:rFonts w:hint="eastAsia"/>
          <w:color w:val="auto"/>
          <w:sz w:val="24"/>
          <w:szCs w:val="32"/>
        </w:rPr>
        <w:t>报价，该报价为综合单价（元/平米）</w:t>
      </w:r>
      <w:r>
        <w:rPr>
          <w:rFonts w:hint="eastAsia"/>
          <w:color w:val="auto"/>
          <w:sz w:val="24"/>
          <w:szCs w:val="32"/>
          <w:lang w:eastAsia="zh-CN"/>
        </w:rPr>
        <w:t>，</w:t>
      </w:r>
      <w:r>
        <w:rPr>
          <w:rFonts w:hint="eastAsia"/>
          <w:color w:val="auto"/>
          <w:sz w:val="24"/>
          <w:szCs w:val="32"/>
          <w:lang w:val="en-US" w:eastAsia="zh-CN"/>
        </w:rPr>
        <w:t>不随材料市场价格波动、工程量增减、工资、物价、费率的变动而发生变化（双方约定的可调整的材料除外），</w:t>
      </w:r>
      <w:r>
        <w:rPr>
          <w:rFonts w:hint="eastAsia"/>
          <w:color w:val="auto"/>
          <w:sz w:val="24"/>
          <w:szCs w:val="32"/>
        </w:rPr>
        <w:t>且必须附</w:t>
      </w:r>
      <w:r>
        <w:rPr>
          <w:rFonts w:hint="eastAsia"/>
          <w:color w:val="auto"/>
          <w:sz w:val="24"/>
          <w:szCs w:val="32"/>
          <w:lang w:eastAsia="zh-CN"/>
        </w:rPr>
        <w:t>综合单价分析表</w:t>
      </w:r>
      <w:r>
        <w:rPr>
          <w:rFonts w:hint="eastAsia"/>
          <w:color w:val="auto"/>
          <w:sz w:val="24"/>
          <w:szCs w:val="32"/>
        </w:rPr>
        <w:t>。结算数量按现场实际收方数量计算，不另计算损耗。（综合单价为含全额税率</w:t>
      </w:r>
      <w:r>
        <w:rPr>
          <w:rFonts w:hint="eastAsia"/>
          <w:color w:val="auto"/>
          <w:sz w:val="24"/>
          <w:szCs w:val="32"/>
          <w:lang w:val="en-US" w:eastAsia="zh-CN"/>
        </w:rPr>
        <w:t>9</w:t>
      </w:r>
      <w:r>
        <w:rPr>
          <w:rFonts w:hint="eastAsia"/>
          <w:color w:val="auto"/>
          <w:sz w:val="24"/>
          <w:szCs w:val="32"/>
        </w:rPr>
        <w:t>%增值税专用发票价格。）</w:t>
      </w:r>
    </w:p>
    <w:p>
      <w:pPr>
        <w:spacing w:line="360" w:lineRule="auto"/>
        <w:ind w:firstLine="482" w:firstLineChars="20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32"/>
        </w:rPr>
        <w:t>、付款方式：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/>
          <w:color w:val="auto"/>
          <w:sz w:val="24"/>
          <w:u w:val="single"/>
        </w:rPr>
      </w:pPr>
      <w:r>
        <w:rPr>
          <w:rFonts w:hint="eastAsia" w:ascii="宋体" w:hAnsi="宋体" w:cs="宋体"/>
          <w:bCs/>
          <w:color w:val="auto"/>
          <w:sz w:val="24"/>
        </w:rPr>
        <w:t>（1）合同手续完善，施工单位进场后5个工作日内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支付预付款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1万元</w:t>
      </w:r>
      <w:r>
        <w:rPr>
          <w:rFonts w:hint="eastAsia" w:ascii="宋体" w:hAnsi="宋体" w:cs="宋体"/>
          <w:bCs/>
          <w:color w:val="auto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（2）施工完毕经甲方验收合格并办理完结算手续，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开盘后（预计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10月1日开盘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 w:val="24"/>
        </w:rPr>
        <w:t>10个工作日内甲方支付到应结算总金额的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50</w:t>
      </w:r>
      <w:r>
        <w:rPr>
          <w:rFonts w:hint="eastAsia" w:ascii="宋体" w:hAnsi="宋体" w:cs="宋体"/>
          <w:bCs/>
          <w:color w:val="auto"/>
          <w:sz w:val="24"/>
        </w:rPr>
        <w:t>%；（本次付款时全额无息退还履约保证金）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（3）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开盘</w:t>
      </w:r>
      <w:r>
        <w:rPr>
          <w:rFonts w:hint="eastAsia" w:ascii="宋体" w:hAnsi="宋体" w:cs="宋体"/>
          <w:bCs/>
          <w:color w:val="auto"/>
          <w:sz w:val="24"/>
        </w:rPr>
        <w:t>三个月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后</w:t>
      </w:r>
      <w:r>
        <w:rPr>
          <w:rFonts w:hint="eastAsia" w:ascii="宋体" w:hAnsi="宋体" w:cs="宋体"/>
          <w:bCs/>
          <w:color w:val="auto"/>
          <w:sz w:val="24"/>
        </w:rPr>
        <w:t>，10个工作日内甲方支付到应结算总金额的9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sz w:val="24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（4）质保金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</w:rPr>
        <w:t>%，质保期2年，甲方验收合格并办理完结算手续后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算起，</w:t>
      </w:r>
      <w:r>
        <w:rPr>
          <w:rFonts w:hint="eastAsia" w:ascii="宋体" w:hAnsi="宋体" w:cs="宋体"/>
          <w:bCs/>
          <w:color w:val="auto"/>
          <w:sz w:val="24"/>
        </w:rPr>
        <w:t>质保到期经甲方确认后10个工作日内支付。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 xml:space="preserve"> 四、招标文件的获取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hint="eastAsia" w:ascii="宋体" w:hAnsi="宋体" w:cs="宋体"/>
          <w:sz w:val="24"/>
        </w:rPr>
      </w:pPr>
      <w:bookmarkStart w:id="0" w:name="_Toc203812310"/>
      <w:bookmarkStart w:id="1" w:name="_Toc226699474"/>
      <w:bookmarkStart w:id="2" w:name="_Toc200874608"/>
      <w:r>
        <w:rPr>
          <w:rFonts w:hint="eastAsia" w:ascii="宋体" w:hAnsi="宋体" w:cs="宋体"/>
          <w:sz w:val="24"/>
        </w:rPr>
        <w:t>有意参与投标的单位可在招标时间内，凭企业营业执照及资质文件领取招标文件。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联系人：杨永波15583122233   贾科18782674017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五、投标文件的递交</w:t>
      </w:r>
      <w:bookmarkEnd w:id="0"/>
      <w:bookmarkEnd w:id="1"/>
      <w:bookmarkEnd w:id="2"/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</w:rPr>
        <w:t>1、投标文件递交的截止时间为：202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15:30。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2、投标文件递交地点为：</w:t>
      </w:r>
      <w:r>
        <w:rPr>
          <w:rFonts w:hint="eastAsia" w:ascii="宋体" w:hAnsi="宋体" w:cs="宋体"/>
          <w:sz w:val="24"/>
          <w:lang w:eastAsia="zh-CN"/>
        </w:rPr>
        <w:t>成华区龙腾广场项目</w:t>
      </w:r>
      <w:r>
        <w:rPr>
          <w:rFonts w:hint="eastAsia" w:ascii="宋体" w:hAnsi="宋体" w:cs="宋体"/>
          <w:sz w:val="24"/>
        </w:rPr>
        <w:t>办</w:t>
      </w:r>
      <w:r>
        <w:rPr>
          <w:rFonts w:hint="eastAsia" w:ascii="宋体" w:hAnsi="宋体" w:cs="宋体"/>
          <w:color w:val="000000"/>
          <w:sz w:val="24"/>
        </w:rPr>
        <w:t>公室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3、投标文件递交联系人：杨永波15583122233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贾科18782674017</w:t>
      </w: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4、逾期送达的或者未送达指定地点的投标文件，招标人不予受理。</w:t>
      </w:r>
    </w:p>
    <w:p>
      <w:pPr>
        <w:spacing w:line="360" w:lineRule="auto"/>
        <w:rPr>
          <w:color w:val="auto"/>
          <w:sz w:val="24"/>
          <w:szCs w:val="32"/>
        </w:rPr>
      </w:pPr>
    </w:p>
    <w:p>
      <w:pPr>
        <w:spacing w:line="360" w:lineRule="auto"/>
        <w:rPr>
          <w:color w:val="auto"/>
          <w:sz w:val="24"/>
          <w:szCs w:val="32"/>
        </w:rPr>
      </w:pPr>
    </w:p>
    <w:p>
      <w:pPr>
        <w:spacing w:line="360" w:lineRule="auto"/>
        <w:rPr>
          <w:color w:val="auto"/>
          <w:sz w:val="24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成都市芝兰御锦城房地产开发有限公司</w:t>
      </w:r>
    </w:p>
    <w:p>
      <w:pPr>
        <w:autoSpaceDE w:val="0"/>
        <w:autoSpaceDN w:val="0"/>
        <w:adjustRightInd w:val="0"/>
        <w:snapToGrid w:val="0"/>
        <w:jc w:val="right"/>
        <w:rPr>
          <w:rFonts w:hint="eastAsia"/>
          <w:bCs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24"/>
        </w:rPr>
        <w:t>202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 w:val="24"/>
        </w:rPr>
        <w:t>年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4"/>
        </w:rPr>
        <w:t>月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4"/>
        </w:rPr>
        <w:t>日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ind w:left="360"/>
        <w:jc w:val="center"/>
        <w:rPr>
          <w:bCs w:val="0"/>
          <w:color w:val="auto"/>
        </w:rPr>
      </w:pPr>
      <w:bookmarkStart w:id="3" w:name="_Toc202862409"/>
      <w:bookmarkStart w:id="4" w:name="_Toc236218500"/>
      <w:r>
        <w:rPr>
          <w:rFonts w:hint="eastAsia"/>
          <w:bCs w:val="0"/>
          <w:color w:val="auto"/>
        </w:rPr>
        <w:t>投标人须知</w:t>
      </w:r>
      <w:bookmarkEnd w:id="3"/>
      <w:bookmarkEnd w:id="4"/>
    </w:p>
    <w:p>
      <w:pPr>
        <w:adjustRightInd w:val="0"/>
        <w:snapToGrid w:val="0"/>
        <w:rPr>
          <w:color w:val="auto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58"/>
        <w:gridCol w:w="7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tblHeader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条 款 名 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编 列 内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招标人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成都市芝兰御锦城房地产开发有限公司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址：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成华区圣灯街道办事处东华社区2组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龙腾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广场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#楼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幕墙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建设地点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035"/>
              </w:tabs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成都市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成华区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资金来源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业主自筹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出资比例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招标范围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龙腾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广场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#楼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幕墙工程施工，详细范围见图纸及清单。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报价原则</w:t>
            </w:r>
          </w:p>
        </w:tc>
        <w:tc>
          <w:tcPr>
            <w:tcW w:w="7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根据甲方提供的图纸式样及材质标准，达到国家及地方最新质量及验收标准要求，按甲方提供的工程量清单报价，该报价为综合单价（元/平米），不随材料市场价格波动、工程量增减、工资、物价、费率的变动而发生变化（双方约定的可调整的材料除外），且必须附综合单价分析表。结算数量按现场实际收方数量计算，不另计算损耗。（综合单价为含全额税率9%增值税专用发票价格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计划工期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60天，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以甲方正式通知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进场时间</w:t>
            </w:r>
            <w:r>
              <w:rPr>
                <w:rFonts w:hint="eastAsia" w:ascii="宋体" w:hAnsi="宋体" w:cs="宋体"/>
                <w:color w:val="auto"/>
                <w:sz w:val="24"/>
              </w:rPr>
              <w:t>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质量要求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根据甲方提供的图纸式样及材质标准，达到国家及地方最新质量及验收标准要求。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工程质量等级为合格。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投标人资质条件、能力和信誉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1、投标人需具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备独立法人资格，</w:t>
            </w:r>
            <w:r>
              <w:rPr>
                <w:rFonts w:hint="eastAsia"/>
                <w:color w:val="auto"/>
                <w:sz w:val="24"/>
                <w:szCs w:val="32"/>
              </w:rPr>
              <w:t>具备</w:t>
            </w:r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建筑幕墙工程专业承包贰级或以上</w:t>
            </w:r>
            <w:r>
              <w:rPr>
                <w:rFonts w:hint="eastAsia"/>
                <w:color w:val="auto"/>
                <w:sz w:val="24"/>
                <w:szCs w:val="32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2、近3年已完成2个以上同等规模的工程（提供中标通知书或合同，以中标或签订施工合同时间为时间依据）。</w:t>
            </w:r>
          </w:p>
          <w:p>
            <w:pPr>
              <w:spacing w:line="24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3、无不良履约信用记录，未被有关行政</w:t>
            </w:r>
            <w:r>
              <w:rPr>
                <w:rFonts w:hint="eastAsia"/>
                <w:color w:val="auto"/>
                <w:sz w:val="24"/>
                <w:szCs w:val="32"/>
              </w:rPr>
              <w:t>主管部门市场禁入。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踏勘现场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由投标人自行组织踏勘现场（</w:t>
            </w:r>
            <w:r>
              <w:rPr>
                <w:rFonts w:hint="eastAsia" w:ascii="宋体" w:hAnsi="宋体" w:cs="宋体"/>
                <w:sz w:val="24"/>
              </w:rPr>
              <w:t>联系人：杨永波15583122233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招标答疑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投标单位可在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日前以书面形式提出或联系招标采购部及设计部。答疑邮箱：1160120568@qq.com（项目工程部联系人：</w:t>
            </w:r>
            <w:r>
              <w:rPr>
                <w:rFonts w:hint="eastAsia" w:ascii="宋体" w:hAnsi="宋体" w:cs="宋体"/>
                <w:color w:val="auto"/>
                <w:sz w:val="24"/>
              </w:rPr>
              <w:t>杨永波15583122233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；招标采购部联系人：贾科18782674017；设计部联系人李智18980658266）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构成招标文件的其他材料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招标文件、图纸等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投标时间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日至202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15:30。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投标保证金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投标保证金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  <w:lang w:val="en-US" w:eastAsia="zh-CN"/>
              </w:rPr>
              <w:t>20000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</w:rPr>
              <w:t>元（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  <w:lang w:val="en-US" w:eastAsia="zh-CN"/>
              </w:rPr>
              <w:t>贰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</w:rPr>
              <w:t>万元整）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；（打款凭据粘贴于投标文件袋背面）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开户人：成都市芝兰御锦城房地产开发有限公司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开户行：中国农业银行成都圣灯支行 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号：22 8178 0104 0012 654</w:t>
            </w:r>
          </w:p>
          <w:p>
            <w:pPr>
              <w:pStyle w:val="8"/>
              <w:adjustRightInd w:val="0"/>
              <w:snapToGrid w:val="0"/>
              <w:ind w:firstLine="0" w:firstLineChars="0"/>
              <w:rPr>
                <w:rFonts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交纳方式：投标单位必须在递交标书之前，以转账方式交纳（未中标单位投标保证金在确认中标单位后5个工作日内无息退还；中标单位投标保证金则转为履约保证金，在本工程结算时全额无息退还。）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履约保证金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中标单位投标保证金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  <w:lang w:val="en-US" w:eastAsia="zh-CN"/>
              </w:rPr>
              <w:t>20000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</w:rPr>
              <w:t>元（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  <w:lang w:val="en-US" w:eastAsia="zh-CN"/>
              </w:rPr>
              <w:t>贰万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single"/>
              </w:rPr>
              <w:t>元整）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转为履约保证金，在工程竣工结算时全额无息退还。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投标有效期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30日历天(从投标截止之日算起)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投标文件份数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正副本各一份（分别包含商务标、技术标）；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投标文件全套电子档一份（U盘）。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封面要求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封面标题：龙腾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广场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#楼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幕墙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投标文件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招标单位：</w:t>
            </w:r>
            <w:r>
              <w:rPr>
                <w:rFonts w:hint="eastAsia" w:ascii="宋体" w:hAnsi="宋体" w:cs="宋体"/>
                <w:sz w:val="24"/>
              </w:rPr>
              <w:t>成都市芝兰御锦城房地产开发有限公司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投标单位：注明单位名称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投标时间：202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递交投标文件递交地址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成都市成华区圣灯街道办事处东华社区2组东华一路与成华大道交汇处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，龙腾广场项目部。</w:t>
            </w:r>
          </w:p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联系人：</w:t>
            </w:r>
            <w:r>
              <w:rPr>
                <w:rFonts w:hint="eastAsia" w:ascii="宋体" w:hAnsi="宋体" w:cs="宋体"/>
                <w:sz w:val="24"/>
              </w:rPr>
              <w:t>杨永波15583122233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32"/>
              </w:rPr>
              <w:t>贾科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18782674017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投标报价方式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同报价原则的要求。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付款模式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（1）合同手续完善，施工单位进场后5个工作日内支付预付款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万元。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（2）施工完毕经甲方验收合格并办理完结算手续后，开盘后（预计10月1日开盘）10个工作日内甲方支付到应结算总金额的50%；（本次付款时全额无息退还履约保证金）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（3）开盘三个月后，10个工作日内甲方支付到应结算总金额的97%；</w:t>
            </w:r>
          </w:p>
          <w:p>
            <w:pPr>
              <w:spacing w:line="24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（4）质保金3%，质保期2年，甲方验收合格并办理完结算手续后算起，质保到期经甲方确认后10个工作日内支付。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开标时间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0(投标单位参加现场开标)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评标原则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合理低价中标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逾期送达或未送达指定地点的投标文件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逾期送达的或者未送达指定地点的投标文件，招标人不予受理。逾期送达的投标文件由投标人自行带回(不拆封)，所有损失由投标人自行承担。</w:t>
            </w:r>
          </w:p>
        </w:tc>
      </w:tr>
    </w:tbl>
    <w:p>
      <w:pPr>
        <w:rPr>
          <w:color w:val="auto"/>
          <w:sz w:val="28"/>
          <w:szCs w:val="36"/>
        </w:rPr>
      </w:pPr>
      <w:r>
        <w:rPr>
          <w:color w:val="auto"/>
          <w:sz w:val="28"/>
          <w:szCs w:val="28"/>
        </w:rPr>
        <w:br w:type="page"/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第一部分：工程概况</w:t>
      </w:r>
    </w:p>
    <w:p>
      <w:pPr>
        <w:spacing w:afterLines="5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龙腾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广场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项目位于</w:t>
      </w:r>
      <w:r>
        <w:rPr>
          <w:rFonts w:hint="eastAsia" w:ascii="宋体" w:hAnsi="宋体" w:cs="宋体"/>
          <w:sz w:val="24"/>
        </w:rPr>
        <w:t>成都市成华区圣灯街道办事处东华社区2组东华一路与成华大道交汇处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集写字楼、酒店、商业、公寓于一体的商业综合体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第二部分：招标范围</w:t>
      </w:r>
    </w:p>
    <w:p>
      <w:pPr>
        <w:numPr>
          <w:ilvl w:val="0"/>
          <w:numId w:val="2"/>
        </w:numPr>
        <w:spacing w:afterLines="50"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 xml:space="preserve">招标范围和内容: </w:t>
      </w:r>
    </w:p>
    <w:p>
      <w:pPr>
        <w:spacing w:afterLines="5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详见清单及图纸。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2、设计方案及其他说明：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根据甲方提供图纸式样及材质，按国家及地方最新规范要求进行报价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，若报价单位对专项图纸进行进一步优化，可在投标文件中进行说明，并在开标时进行现场解说，甲方会根据开标情况进行综合评判。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部分：投标文件格式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1、商务标文件组成：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1）投标函；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2）法人代表授权委托书（如是法人代表具体经办可不填此表）；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3）法人身份证复印件；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4）授权委托人身份证复印件（如是法人代表具体经办可不提供）；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5）报价表；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6）企业的有效证件（主要有营业执照、资质证书、公司简介等）；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2、技术标文件组成：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1）施工方案及组织措施；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  2）最近三年在施工或完工的工程案例清单；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3、承诺书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 xml:space="preserve">部分：报价须知  </w:t>
      </w:r>
    </w:p>
    <w:p>
      <w:pPr>
        <w:spacing w:line="360" w:lineRule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1、根据甲方提供的图纸式样及材质标准，达到国家及地方最新质量及验收标准要求</w:t>
      </w:r>
      <w:r>
        <w:rPr>
          <w:rFonts w:hint="eastAsia"/>
          <w:color w:val="auto"/>
          <w:sz w:val="24"/>
          <w:szCs w:val="32"/>
          <w:lang w:eastAsia="zh-CN"/>
        </w:rPr>
        <w:t>，</w:t>
      </w:r>
      <w:r>
        <w:rPr>
          <w:rFonts w:hint="eastAsia"/>
          <w:color w:val="auto"/>
          <w:sz w:val="24"/>
          <w:szCs w:val="32"/>
          <w:lang w:val="en-US" w:eastAsia="zh-CN"/>
        </w:rPr>
        <w:t>按招标文件提供的工程量清单</w:t>
      </w:r>
      <w:r>
        <w:rPr>
          <w:rFonts w:hint="eastAsia"/>
          <w:color w:val="auto"/>
          <w:sz w:val="24"/>
          <w:szCs w:val="32"/>
        </w:rPr>
        <w:t>报价，该报价为综合单价（元/平米）</w:t>
      </w:r>
      <w:r>
        <w:rPr>
          <w:rFonts w:hint="eastAsia"/>
          <w:color w:val="auto"/>
          <w:sz w:val="24"/>
          <w:szCs w:val="32"/>
          <w:lang w:eastAsia="zh-CN"/>
        </w:rPr>
        <w:t>，单价包含材料及实体检测费，</w:t>
      </w:r>
      <w:r>
        <w:rPr>
          <w:rFonts w:hint="eastAsia"/>
          <w:color w:val="auto"/>
          <w:sz w:val="24"/>
          <w:szCs w:val="32"/>
          <w:lang w:val="en-US" w:eastAsia="zh-CN"/>
        </w:rPr>
        <w:t>不随材料市场价格波动、工程量增减、工资、物价的变动而发生变化（双方约定的可调整的材料除外），</w:t>
      </w:r>
      <w:r>
        <w:rPr>
          <w:rFonts w:hint="eastAsia"/>
          <w:color w:val="auto"/>
          <w:sz w:val="24"/>
          <w:szCs w:val="32"/>
        </w:rPr>
        <w:t>且必须附报价预算明细表。结算数量按现场实际收方数量计算，不另计算损耗。（综合单价为含全额税率</w:t>
      </w:r>
      <w:r>
        <w:rPr>
          <w:rFonts w:hint="eastAsia"/>
          <w:color w:val="auto"/>
          <w:sz w:val="24"/>
          <w:szCs w:val="32"/>
          <w:lang w:val="en-US" w:eastAsia="zh-CN"/>
        </w:rPr>
        <w:t>9</w:t>
      </w:r>
      <w:r>
        <w:rPr>
          <w:rFonts w:hint="eastAsia"/>
          <w:color w:val="auto"/>
          <w:sz w:val="24"/>
          <w:szCs w:val="32"/>
        </w:rPr>
        <w:t>%增值税专用发票价格。）</w:t>
      </w:r>
      <w:bookmarkStart w:id="5" w:name="_GoBack"/>
      <w:bookmarkEnd w:id="5"/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2、综合单价包括但不限于本项目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幕墙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的制作、安装、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实体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检测、验收、维修、措施、安全文明施工费、规费及税金等全部费用。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部分：投标费用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1、投标单位在投标过程中（包括考察）发生的一切费用，无论投标结果如何均由投标单位自行承担，招标单位不负任何责任。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部分：评标原则及处罚说明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1、在满足招标单位招标要求的前提下，合理低价中标。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2、以下情况视为无效标书条件，招标方有权对投标文件作废标处理。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1)投标书未能按照规定包装密封；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2)未能提供有效的企业法人身份证明书和授权委托书的；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3)投标文件内容不全或未按规定填写或重要内容字迹模糊、辨认不清或涂改未加盖公章的；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4)《投标函》未经企业法定代表人或其委托代理人签字或加盖法人印章的；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5)投标书逾期送达的；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6)未按规定的投标要求进行报价的；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7）投标人递交两份或多份内容不同的投标文件，或在一份投标文件中对同一招标项目有两个或多个报价，且未声明哪一个有效；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8）未按招标文件要求提交投标保证金的；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9）未实质性响应招标文件要求的。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10）其它未按本招标文件规定要求或严重违例的。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3、施工要求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（1）签定施工合同后中标单位必须按照合同约定的工期，用材，施工工艺进行施工。招标单位未做要求的，由中标单位自行按照国家及地方现行最新规范标准执行。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（2）若招标单位发现中标单位未按前述要求执行，有权采取没收履约保证金、扣除工程款、要求更换设备材料及追究违约责任等形式予以处罚。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部分：合同的签署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1、中标人应于收到中标通知书之日起5日内由法定代表人或授权代表到招标人处与招标人签订合同。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2、投标人应仔细研究合同中的各项条款，定标确认造价后，双方将据此签订合同，招标人在未经投标人同意的前提下，有权将投标人的投标承诺等相关内容在合同中加以补充。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中标通知书发出后，中标人放弃中标项目的，拒绝与招标人在本标书规定的时间内签订合同的，在签订合同时向招标人提出附加条件或者更改合同实质性内容的，拒不提交所要求的履约保证金的，或者未按招标文件规定签订合同协议书的，招标人可取消其中标资格，并不予退还其投标保证金；给招标人造成的损失超过投标保证金数额的，中标人应予以相应赔偿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jc w:val="center"/>
        <w:rPr>
          <w:rFonts w:ascii="宋体" w:hAnsi="宋体" w:eastAsia="宋体" w:cs="宋体"/>
          <w:b/>
          <w:bCs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t>授权委托书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    本授权委托书声明：我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 (身份证号：  )    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的法定代表人，现授权委托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(身份证号：               ) 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为签署本工程项目的投标文件的委托代理人，我承认代理人全权代表我签署本工程的投标文件的内容真实有效。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  <w:u w:val="single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代理人姓名：  性别：  年龄：              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身份证号码：  职务：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授权委托有限期限为：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>20   年   月  日至    年    月   日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代理人无转委托权，特此委托。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投标人：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法定代表人：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授权委托日期： 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 年     月     日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附件：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1、法定代表人身份证复印件（加盖公章）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2、代理人身份证复印件（加盖公章）                     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line="360" w:lineRule="auto"/>
        <w:rPr>
          <w:color w:val="auto"/>
          <w:sz w:val="24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D8750"/>
    <w:multiLevelType w:val="singleLevel"/>
    <w:tmpl w:val="F17D87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2"/>
      <w:suff w:val="nothing"/>
      <w:lvlText w:val="%1、"/>
      <w:lvlJc w:val="left"/>
      <w:pPr>
        <w:ind w:left="587" w:hanging="227"/>
      </w:pPr>
      <w:rPr>
        <w:rFonts w:hint="default"/>
        <w:b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737" w:hanging="737"/>
      </w:pPr>
      <w:rPr>
        <w:rFonts w:hint="default" w:ascii="宋体" w:hAnsi="宋体" w:eastAsia="宋体"/>
      </w:rPr>
    </w:lvl>
    <w:lvl w:ilvl="2" w:tentative="0">
      <w:start w:val="1"/>
      <w:numFmt w:val="decimal"/>
      <w:suff w:val="nothing"/>
      <w:lvlText w:val="%1.%2.%3"/>
      <w:lvlJc w:val="left"/>
      <w:pPr>
        <w:ind w:left="737" w:hanging="737"/>
      </w:pPr>
      <w:rPr>
        <w:rFonts w:hint="default" w:ascii="宋体" w:hAnsi="宋体" w:eastAsia="宋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964" w:hanging="964"/>
      </w:pPr>
      <w:rPr>
        <w:rFonts w:hint="eastAsia" w:ascii="宋体" w:hAnsi="宋体" w:eastAsia="宋体"/>
        <w:sz w:val="24"/>
        <w:szCs w:val="24"/>
      </w:rPr>
    </w:lvl>
    <w:lvl w:ilvl="4" w:tentative="0">
      <w:start w:val="2"/>
      <w:numFmt w:val="decimal"/>
      <w:suff w:val="nothing"/>
      <w:lvlText w:val="%1.%2.%3.%4.%5"/>
      <w:lvlJc w:val="left"/>
      <w:pPr>
        <w:ind w:left="1247" w:hanging="119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0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tabs>
          <w:tab w:val="left" w:pos="6360"/>
        </w:tabs>
        <w:ind w:left="63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5D61"/>
    <w:rsid w:val="00173153"/>
    <w:rsid w:val="002F0955"/>
    <w:rsid w:val="002F4F58"/>
    <w:rsid w:val="003E6D78"/>
    <w:rsid w:val="00435099"/>
    <w:rsid w:val="004A4321"/>
    <w:rsid w:val="004F1DCD"/>
    <w:rsid w:val="005E271A"/>
    <w:rsid w:val="00624355"/>
    <w:rsid w:val="006940FF"/>
    <w:rsid w:val="007E1799"/>
    <w:rsid w:val="00977414"/>
    <w:rsid w:val="00BB1F45"/>
    <w:rsid w:val="00C14CE7"/>
    <w:rsid w:val="00C32CC1"/>
    <w:rsid w:val="00C55301"/>
    <w:rsid w:val="00D747FB"/>
    <w:rsid w:val="00FC6BF8"/>
    <w:rsid w:val="01276C8C"/>
    <w:rsid w:val="020A763E"/>
    <w:rsid w:val="032E1EFE"/>
    <w:rsid w:val="051C668F"/>
    <w:rsid w:val="09C52EE8"/>
    <w:rsid w:val="0ED3302A"/>
    <w:rsid w:val="0F300A60"/>
    <w:rsid w:val="0FC96465"/>
    <w:rsid w:val="152F78FC"/>
    <w:rsid w:val="184302BB"/>
    <w:rsid w:val="1B216793"/>
    <w:rsid w:val="1B8C7195"/>
    <w:rsid w:val="1C7D28C2"/>
    <w:rsid w:val="1CBB01E9"/>
    <w:rsid w:val="1D722CF8"/>
    <w:rsid w:val="21C46F21"/>
    <w:rsid w:val="233525C3"/>
    <w:rsid w:val="234B1A24"/>
    <w:rsid w:val="249D3ECC"/>
    <w:rsid w:val="25D62342"/>
    <w:rsid w:val="280B36BF"/>
    <w:rsid w:val="28AB5D61"/>
    <w:rsid w:val="29F447CB"/>
    <w:rsid w:val="2AAC3B96"/>
    <w:rsid w:val="2CC97F92"/>
    <w:rsid w:val="2CD8095A"/>
    <w:rsid w:val="2FF76CB4"/>
    <w:rsid w:val="30DB3A13"/>
    <w:rsid w:val="350D435E"/>
    <w:rsid w:val="36453CDE"/>
    <w:rsid w:val="37591973"/>
    <w:rsid w:val="38101A69"/>
    <w:rsid w:val="384927F3"/>
    <w:rsid w:val="394C6D2C"/>
    <w:rsid w:val="39834508"/>
    <w:rsid w:val="398768B2"/>
    <w:rsid w:val="3A817DF1"/>
    <w:rsid w:val="3B01446E"/>
    <w:rsid w:val="3C222D19"/>
    <w:rsid w:val="3D971290"/>
    <w:rsid w:val="3E43758E"/>
    <w:rsid w:val="3E4C2B83"/>
    <w:rsid w:val="3EB25C39"/>
    <w:rsid w:val="3FA65211"/>
    <w:rsid w:val="41C9590F"/>
    <w:rsid w:val="41CB69EC"/>
    <w:rsid w:val="423C630C"/>
    <w:rsid w:val="438C6E53"/>
    <w:rsid w:val="442F2630"/>
    <w:rsid w:val="44636AA5"/>
    <w:rsid w:val="45DF2621"/>
    <w:rsid w:val="465D7CA4"/>
    <w:rsid w:val="482C500C"/>
    <w:rsid w:val="483D2B5D"/>
    <w:rsid w:val="4A356C60"/>
    <w:rsid w:val="4A954AF2"/>
    <w:rsid w:val="4B0B4FEB"/>
    <w:rsid w:val="4B8F7E70"/>
    <w:rsid w:val="4CDC124A"/>
    <w:rsid w:val="4CF20A69"/>
    <w:rsid w:val="4DEF260F"/>
    <w:rsid w:val="4F341423"/>
    <w:rsid w:val="509F0C5E"/>
    <w:rsid w:val="50C07255"/>
    <w:rsid w:val="526F3264"/>
    <w:rsid w:val="53B02F96"/>
    <w:rsid w:val="54777614"/>
    <w:rsid w:val="54803C61"/>
    <w:rsid w:val="59050292"/>
    <w:rsid w:val="5924539C"/>
    <w:rsid w:val="5A304687"/>
    <w:rsid w:val="5AE60F6C"/>
    <w:rsid w:val="5B0114D0"/>
    <w:rsid w:val="5B5D1291"/>
    <w:rsid w:val="5BFD4050"/>
    <w:rsid w:val="5C296C8E"/>
    <w:rsid w:val="5CCB7FC0"/>
    <w:rsid w:val="5E7B172D"/>
    <w:rsid w:val="5F903C9E"/>
    <w:rsid w:val="615335CC"/>
    <w:rsid w:val="64E97355"/>
    <w:rsid w:val="65D436F5"/>
    <w:rsid w:val="66AF3D73"/>
    <w:rsid w:val="697B4F46"/>
    <w:rsid w:val="6E162D96"/>
    <w:rsid w:val="700013C6"/>
    <w:rsid w:val="70870893"/>
    <w:rsid w:val="71F91623"/>
    <w:rsid w:val="727231F2"/>
    <w:rsid w:val="75CB7D57"/>
    <w:rsid w:val="760405BC"/>
    <w:rsid w:val="76C44F67"/>
    <w:rsid w:val="77C13AA8"/>
    <w:rsid w:val="77C92CE7"/>
    <w:rsid w:val="77CB7BE6"/>
    <w:rsid w:val="78EC14CA"/>
    <w:rsid w:val="7A5067A0"/>
    <w:rsid w:val="7CDE1BBE"/>
    <w:rsid w:val="7E053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2709</Words>
  <Characters>15444</Characters>
  <Lines>128</Lines>
  <Paragraphs>36</Paragraphs>
  <TotalTime>7</TotalTime>
  <ScaleCrop>false</ScaleCrop>
  <LinksUpToDate>false</LinksUpToDate>
  <CharactersWithSpaces>18117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2020-10-26T02:11:00Z</dcterms:created>
  <dc:creator>J-waj</dc:creator>
  <cp:lastModifiedBy>J-waj</cp:lastModifiedBy>
  <cp:lastPrinted>2021-05-18T00:30:00Z</cp:lastPrinted>
  <dcterms:modified xsi:type="dcterms:W3CDTF">2022-01-10T03:16:25Z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F800C1263E984ABD9D03F90D9C4D006A</vt:lpwstr>
  </property>
</Properties>
</file>